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A654" w14:textId="1633E437" w:rsidR="001F68DE" w:rsidRPr="004974D4" w:rsidRDefault="001F68DE" w:rsidP="001F68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Сайн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байна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уу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E64CDD1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C38B40D" w14:textId="5CF3B64C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Сангийн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яам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Дэлхийн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Банк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хамтран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хэрэгжүүлж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буй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Монгол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Улс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дахь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Засаглалыг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Бэхжүүлэх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төслийн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хүрээнд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Шилэн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дансны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нэгдсэн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цахим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хуудасны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шинэчилсэн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хөгжүүлэлтийг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хийж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mn-MN"/>
        </w:rPr>
        <w:t xml:space="preserve">нэвтрүүлэхэд бэлэн болгоод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16602A92" w14:textId="77777777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37869E" w14:textId="77777777" w:rsidR="001F68DE" w:rsidRPr="001F68DE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Шинэчилсэн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системийг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албан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ёсоор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2023.01.01-ний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өдрөөс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эхлэн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нэвтрүүлж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хуучин</w:t>
      </w:r>
      <w:proofErr w:type="spellEnd"/>
    </w:p>
    <w:p w14:paraId="024DE056" w14:textId="790A76EC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системийг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зогсоох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тул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2022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оны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11 дүгээр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сард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багтан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ерөнхийлөн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захирагчийн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харьяа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бүртгэлийг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дараахь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зааврын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системд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үүсгэсэн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байхыг</w:t>
      </w:r>
      <w:proofErr w:type="spellEnd"/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анхаарна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1F68DE">
        <w:rPr>
          <w:rFonts w:ascii="Arial" w:eastAsia="Times New Roman" w:hAnsi="Arial" w:cs="Arial"/>
          <w:color w:val="000000"/>
          <w:sz w:val="24"/>
          <w:szCs w:val="24"/>
        </w:rPr>
        <w:t>уу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A3E6B0" w14:textId="77777777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022ADBC" w14:textId="10AAA724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Системд хэрхэн бүртгүүлэх талаарх</w:t>
      </w:r>
      <w:r w:rsidRPr="001F68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8DE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цахим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сургалтыг 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2022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оны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11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ү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ээ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сарын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,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,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-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ны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өд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ө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р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0</w:t>
      </w:r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F68DE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цагаас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1F68DE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удаа зохион байгуулах тул харьяа байгууллагын холбогдох мэргэжилтнүүдийг бүрэн хамруулахад анхаарна уу</w:t>
      </w:r>
      <w:r w:rsidRPr="004974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974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2D700098" w14:textId="77777777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6FF9CDF" w14:textId="77777777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Сургалтын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хөтөлбөр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танилцуулгыг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хавсралтаас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үзнэ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000000"/>
          <w:sz w:val="24"/>
          <w:szCs w:val="24"/>
        </w:rPr>
        <w:t>үү</w:t>
      </w:r>
      <w:proofErr w:type="spellEnd"/>
      <w:r w:rsidRPr="004974D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32096D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A08285" w14:textId="23FC9F60" w:rsidR="001F68DE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74D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Огноо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2022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оны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11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ү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ээ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сарын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,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, </w:t>
      </w:r>
      <w:r w:rsidR="00023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23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өдөр</w:t>
      </w:r>
      <w:proofErr w:type="spellEnd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,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0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.00-1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1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3</w:t>
      </w:r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0 </w:t>
      </w:r>
      <w:proofErr w:type="spellStart"/>
      <w:r w:rsidRPr="00497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цаг</w:t>
      </w:r>
      <w:proofErr w:type="spellEnd"/>
    </w:p>
    <w:p w14:paraId="59BC260B" w14:textId="77777777" w:rsidR="001F68DE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7A3231B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ШИЛЭН ДАНСНЫ НЭГДСЭН ЦАХИМ ХУУДАСНЫ ШИНЭЧЛЭЛ</w:t>
      </w: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18868439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ЦАХИМ СУРГАЛТЫН ХӨТӨЛБӨР</w:t>
      </w: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7B8B4822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 </w:t>
      </w: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295B40DB" w14:textId="42CE01CC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Зорилго:</w:t>
      </w:r>
      <w:r w:rsidRPr="004974D4">
        <w:rPr>
          <w:rFonts w:ascii="Arial" w:eastAsia="Times New Roman" w:hAnsi="Arial" w:cs="Arial"/>
          <w:bdr w:val="none" w:sz="0" w:space="0" w:color="auto" w:frame="1"/>
          <w:lang w:val="mn-MN"/>
        </w:rPr>
        <w:t> Байгууллагын удирдлага, ерөнхий нягтлан бодогч, системийн админ хэрэглэгч нарт системийн үйл ажиллагааны талаар мэдлэг, мэдээлэл олгох практик сургалт.</w:t>
      </w: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2CD3D8D1" w14:textId="7289F793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Оролцогчид:</w:t>
      </w:r>
      <w:r w:rsidRPr="004974D4">
        <w:rPr>
          <w:rFonts w:ascii="Arial" w:eastAsia="Times New Roman" w:hAnsi="Arial" w:cs="Arial"/>
          <w:bdr w:val="none" w:sz="0" w:space="0" w:color="auto" w:frame="1"/>
          <w:lang w:val="mn-MN"/>
        </w:rPr>
        <w:t> </w:t>
      </w:r>
      <w:r>
        <w:rPr>
          <w:rFonts w:ascii="Arial" w:eastAsia="Times New Roman" w:hAnsi="Arial" w:cs="Arial"/>
          <w:bdr w:val="none" w:sz="0" w:space="0" w:color="auto" w:frame="1"/>
          <w:lang w:val="mn-MN"/>
        </w:rPr>
        <w:t>Шилэн дансны системд мэлээлэх үүрэгтэй</w:t>
      </w:r>
      <w:r w:rsidRPr="004974D4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bdr w:val="none" w:sz="0" w:space="0" w:color="auto" w:frame="1"/>
        </w:rPr>
        <w:t>албан</w:t>
      </w:r>
      <w:proofErr w:type="spellEnd"/>
      <w:r w:rsidRPr="004974D4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bdr w:val="none" w:sz="0" w:space="0" w:color="auto" w:frame="1"/>
        </w:rPr>
        <w:t>хаагчид</w:t>
      </w:r>
      <w:proofErr w:type="spellEnd"/>
    </w:p>
    <w:p w14:paraId="563199CC" w14:textId="77777777" w:rsidR="001F68DE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</w:pPr>
      <w:r w:rsidRPr="004974D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Сургалтын холбоос: </w:t>
      </w:r>
    </w:p>
    <w:p w14:paraId="47E61913" w14:textId="77777777" w:rsidR="001F68DE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val="mn-MN"/>
        </w:rPr>
      </w:pPr>
    </w:p>
    <w:p w14:paraId="109E43AE" w14:textId="77777777" w:rsidR="001F68DE" w:rsidRDefault="00000000" w:rsidP="001F68DE">
      <w:pPr>
        <w:shd w:val="clear" w:color="auto" w:fill="FFFFFF"/>
        <w:spacing w:after="0" w:line="240" w:lineRule="auto"/>
        <w:jc w:val="both"/>
        <w:textAlignment w:val="baseline"/>
      </w:pPr>
      <w:hyperlink r:id="rId5" w:tgtFrame="_blank" w:history="1">
        <w:r w:rsidR="001F68DE">
          <w:rPr>
            <w:rStyle w:val="Hyperlink"/>
            <w:rFonts w:ascii="Helvetica" w:hAnsi="Helvetica"/>
            <w:color w:val="0956B5"/>
            <w:spacing w:val="6"/>
            <w:sz w:val="21"/>
            <w:szCs w:val="21"/>
            <w:shd w:val="clear" w:color="auto" w:fill="FFFFFF"/>
          </w:rPr>
          <w:t>https://us06web.zoom.us/meeting/register/tZckcu6orD0vGNdm9zHfyaLhZAFHp05RgfYP</w:t>
        </w:r>
      </w:hyperlink>
    </w:p>
    <w:p w14:paraId="40FCE376" w14:textId="535D8958" w:rsidR="001F68DE" w:rsidRPr="004974D4" w:rsidRDefault="001F68DE" w:rsidP="001F68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dr w:val="none" w:sz="0" w:space="0" w:color="auto" w:frame="1"/>
          <w:lang w:val="mn-MN"/>
        </w:rPr>
        <w:t>/Meeting ID: </w:t>
      </w:r>
      <w:r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839 5702 6523</w:t>
      </w:r>
      <w:r w:rsidRPr="004974D4">
        <w:rPr>
          <w:rFonts w:ascii="Arial" w:eastAsia="Times New Roman" w:hAnsi="Arial" w:cs="Arial"/>
          <w:color w:val="232333"/>
          <w:sz w:val="21"/>
          <w:szCs w:val="21"/>
          <w:bdr w:val="none" w:sz="0" w:space="0" w:color="auto" w:frame="1"/>
          <w:shd w:val="clear" w:color="auto" w:fill="FFFFFF"/>
          <w:lang w:val="mn-MN"/>
        </w:rPr>
        <w:t>, Passcode  </w:t>
      </w:r>
      <w:r>
        <w:rPr>
          <w:rFonts w:ascii="Arial" w:eastAsia="Times New Roman" w:hAnsi="Arial" w:cs="Arial"/>
          <w:color w:val="232333"/>
          <w:sz w:val="21"/>
          <w:szCs w:val="21"/>
          <w:bdr w:val="none" w:sz="0" w:space="0" w:color="auto" w:frame="1"/>
          <w:shd w:val="clear" w:color="auto" w:fill="FFFFFF"/>
          <w:lang w:val="mn-MN"/>
        </w:rPr>
        <w:t>123456</w:t>
      </w:r>
      <w:r w:rsidRPr="004974D4">
        <w:rPr>
          <w:rFonts w:ascii="Arial" w:eastAsia="Times New Roman" w:hAnsi="Arial" w:cs="Arial"/>
          <w:bdr w:val="none" w:sz="0" w:space="0" w:color="auto" w:frame="1"/>
          <w:lang w:val="mn-MN"/>
        </w:rPr>
        <w:t>/</w:t>
      </w: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40AEF9A3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2446"/>
        <w:gridCol w:w="2452"/>
        <w:gridCol w:w="1978"/>
      </w:tblGrid>
      <w:tr w:rsidR="001F68DE" w:rsidRPr="004974D4" w14:paraId="1CD27027" w14:textId="77777777" w:rsidTr="001F05C0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BBEE7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Огноо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771D8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Хаана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41B7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Эхлэх хугацаа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BF95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Дуусах хугацаа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1F68DE" w:rsidRPr="004974D4" w14:paraId="505BD194" w14:textId="77777777" w:rsidTr="001F05C0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54469" w14:textId="4E0DDDCB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2022.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11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14-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6 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4B7B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ZOOM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297A1" w14:textId="51245FA2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.00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FF58B" w14:textId="6CD8DAAB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.30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</w:tbl>
    <w:p w14:paraId="6D83ECCF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717"/>
        <w:gridCol w:w="3299"/>
        <w:gridCol w:w="3886"/>
      </w:tblGrid>
      <w:tr w:rsidR="001F68DE" w:rsidRPr="004974D4" w14:paraId="4FD7F866" w14:textId="77777777" w:rsidTr="001F68DE">
        <w:trPr>
          <w:trHeight w:val="4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0BD6D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№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00517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Хугацаа 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0455C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Хэлэлцэх сэдэв 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19398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Хариуцах хүн 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1F68DE" w:rsidRPr="004974D4" w14:paraId="1BFBCF73" w14:textId="77777777" w:rsidTr="001F68DE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3427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A8081" w14:textId="19123E46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.00-1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.10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0A184" w14:textId="7777777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Сургалтын бүртгэл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117D3" w14:textId="7777777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1F68DE" w:rsidRPr="004974D4" w14:paraId="2CE12BB5" w14:textId="77777777" w:rsidTr="001F68DE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2216E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2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4AB5" w14:textId="4A0F0DB0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.10-1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.20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3E21D" w14:textId="7777777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Шилэн дансны системийн шинэчлэлийн зорилго 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63CA3" w14:textId="7777777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Ц.Наранзул, ТСГ-ын зохицуулагч зөвлөх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1F68DE" w:rsidRPr="004974D4" w14:paraId="40ABBD0E" w14:textId="77777777" w:rsidTr="001F68DE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68735" w14:textId="77777777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3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DEEE4" w14:textId="5E44F7B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.20-1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5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B5FE7" w14:textId="77777777" w:rsidR="001F68DE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Системийн ерөнхий танилцуулга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14:paraId="575AEBC5" w14:textId="77777777" w:rsidR="001F68DE" w:rsidRPr="004974D4" w:rsidRDefault="001F68DE" w:rsidP="001F68D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Модуль 1. Байгууллагын бүртгэлийн хэсэг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14:paraId="27129D96" w14:textId="65E9785C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3652" w14:textId="77777777" w:rsidR="001F68DE" w:rsidRPr="004974D4" w:rsidRDefault="001F68DE" w:rsidP="001F68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О.Тулгаа, ТЗУГ-ын СМТХ-ийн зөвлөх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14:paraId="1034479B" w14:textId="7E0CC12D" w:rsidR="001F68DE" w:rsidRPr="004974D4" w:rsidRDefault="001F68DE" w:rsidP="001F68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М.Цэрэннамид, ТЗУГ-ын СМТХ-ийн мэргэжилтэн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1F68DE" w:rsidRPr="004974D4" w14:paraId="32FD7CD3" w14:textId="77777777" w:rsidTr="001F68DE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B1B5" w14:textId="6E445F51" w:rsidR="001F68DE" w:rsidRPr="004974D4" w:rsidRDefault="001F68DE" w:rsidP="001F05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4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11E6F" w14:textId="7916C09D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5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0-1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1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.30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94C35" w14:textId="77777777" w:rsidR="001F68DE" w:rsidRPr="004974D4" w:rsidRDefault="001F68DE" w:rsidP="001F05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74D4">
              <w:rPr>
                <w:rFonts w:ascii="Arial" w:eastAsia="Times New Roman" w:hAnsi="Arial" w:cs="Arial"/>
                <w:bdr w:val="none" w:sz="0" w:space="0" w:color="auto" w:frame="1"/>
                <w:lang w:val="mn-MN"/>
              </w:rPr>
              <w:t>Асуулт, хариулт</w:t>
            </w:r>
            <w:r w:rsidRPr="004974D4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</w:tbl>
    <w:p w14:paraId="41AA6FE3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bdr w:val="none" w:sz="0" w:space="0" w:color="auto" w:frame="1"/>
        </w:rPr>
        <w:t> </w:t>
      </w:r>
    </w:p>
    <w:p w14:paraId="42932B03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color w:val="000000"/>
          <w:bdr w:val="none" w:sz="0" w:space="0" w:color="auto" w:frame="1"/>
          <w:lang w:val="mn-MN"/>
        </w:rPr>
        <w:lastRenderedPageBreak/>
        <w:t>—оОо—</w:t>
      </w:r>
      <w:r w:rsidRPr="004974D4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22E5D9E0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66E41A4C" w14:textId="77777777" w:rsidR="001F68DE" w:rsidRPr="004974D4" w:rsidRDefault="001F68DE" w:rsidP="001F6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4974D4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57D1D117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Системийн хаяг : 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begin"/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instrText xml:space="preserve"> HYPERLINK "https://gap.mof.gov.mn/" \t "_blank" </w:instrTex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separate"/>
      </w:r>
      <w:r w:rsidRPr="004974D4"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</w:rPr>
        <w:t>https://gap.mof.gov.mn/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end"/>
      </w:r>
    </w:p>
    <w:p w14:paraId="274F4662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Видео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хичээл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 xml:space="preserve">ийн </w:t>
      </w:r>
      <w:proofErr w:type="gram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хаяг :</w:t>
      </w:r>
      <w:proofErr w:type="gram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 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begin"/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instrText xml:space="preserve"> HYPERLINK "https://gap1.mof.gov.mn/learning" \t "_blank" </w:instrTex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separate"/>
      </w:r>
      <w:r w:rsidRPr="004974D4"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</w:rPr>
        <w:t>https://gap1.mof.gov.mn/learning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fldChar w:fldCharType="end"/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-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  <w:proofErr w:type="spellStart"/>
      <w:r w:rsidRPr="004974D4">
        <w:rPr>
          <w:rFonts w:ascii="Arial" w:eastAsia="Times New Roman" w:hAnsi="Arial" w:cs="Arial"/>
          <w:b/>
          <w:bCs/>
          <w:color w:val="201F1E"/>
          <w:sz w:val="24"/>
          <w:szCs w:val="24"/>
          <w:bdr w:val="none" w:sz="0" w:space="0" w:color="auto" w:frame="1"/>
        </w:rPr>
        <w:t>Видео</w:t>
      </w:r>
      <w:proofErr w:type="spellEnd"/>
      <w:r w:rsidRPr="004974D4">
        <w:rPr>
          <w:rFonts w:ascii="Arial" w:eastAsia="Times New Roman" w:hAnsi="Arial" w:cs="Arial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b/>
          <w:bCs/>
          <w:color w:val="201F1E"/>
          <w:sz w:val="24"/>
          <w:szCs w:val="24"/>
          <w:bdr w:val="none" w:sz="0" w:space="0" w:color="auto" w:frame="1"/>
        </w:rPr>
        <w:t>сургалт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цэснээс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үзнэ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үү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. </w:t>
      </w:r>
    </w:p>
    <w:p w14:paraId="274BEE14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</w:p>
    <w:p w14:paraId="26F92BE4" w14:textId="77777777" w:rsidR="001F68DE" w:rsidRPr="004974D4" w:rsidRDefault="001F68DE" w:rsidP="001F6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Жич : Системийн 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хаягаар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оронгуут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Нэгдсэн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нэвтрэлтийн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цонх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гарч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ирэх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ба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өөрийн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эрхээр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ормогц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Ш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илэн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дансны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хэрэглэгчийн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эрх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болох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цонх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гарч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ирэх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болно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Хэрвээ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та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Нэгдсэн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нэвтрэлтийн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системийн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эрхгүй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бол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шинээр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бүртгүүлсний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дараа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дахин</w:t>
      </w:r>
      <w:proofErr w:type="spellEnd"/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 </w:t>
      </w:r>
      <w:hyperlink r:id="rId6" w:tgtFrame="_blank" w:history="1">
        <w:r w:rsidRPr="004974D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https://gap.mof.gov.mn/</w:t>
        </w:r>
      </w:hyperlink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mn-MN"/>
        </w:rPr>
        <w:t>хаягаар орно уу</w:t>
      </w:r>
      <w:r w:rsidRPr="004974D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.</w:t>
      </w:r>
    </w:p>
    <w:p w14:paraId="40158D44" w14:textId="77777777" w:rsidR="001F68DE" w:rsidRPr="004974D4" w:rsidRDefault="001F68DE" w:rsidP="001F68DE">
      <w:pPr>
        <w:rPr>
          <w:rFonts w:ascii="Arial" w:hAnsi="Arial" w:cs="Arial"/>
        </w:rPr>
      </w:pPr>
    </w:p>
    <w:p w14:paraId="15D92F77" w14:textId="77777777" w:rsidR="005B7CBE" w:rsidRDefault="005B7CBE"/>
    <w:sectPr w:rsidR="005B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2887"/>
    <w:multiLevelType w:val="multilevel"/>
    <w:tmpl w:val="EC5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04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DE"/>
    <w:rsid w:val="00023B71"/>
    <w:rsid w:val="00066E04"/>
    <w:rsid w:val="001F68DE"/>
    <w:rsid w:val="005B7CBE"/>
    <w:rsid w:val="007E32A3"/>
    <w:rsid w:val="008427C7"/>
    <w:rsid w:val="00B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ACD7"/>
  <w15:chartTrackingRefBased/>
  <w15:docId w15:val="{AD54F3B6-5D3A-49BC-A549-DB06A013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p.mof.gov.mn/" TargetMode="External"/><Relationship Id="rId5" Type="http://schemas.openxmlformats.org/officeDocument/2006/relationships/hyperlink" Target="https://us06web.zoom.us/meeting/register/tZckcu6orD0vGNdm9zHfyaLhZAFHp05Rgf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Наранзул Цасчихэр</dc:creator>
  <cp:keywords/>
  <dc:description/>
  <cp:lastModifiedBy>Наранзул Цасчихэр</cp:lastModifiedBy>
  <cp:revision>5</cp:revision>
  <dcterms:created xsi:type="dcterms:W3CDTF">2022-11-10T03:52:00Z</dcterms:created>
  <dcterms:modified xsi:type="dcterms:W3CDTF">2022-11-15T09:00:00Z</dcterms:modified>
</cp:coreProperties>
</file>