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5" w:rsidRDefault="00876995" w:rsidP="00876995">
      <w:pPr>
        <w:shd w:val="clear" w:color="auto" w:fill="FFFFFF"/>
        <w:spacing w:after="150" w:line="240" w:lineRule="auto"/>
        <w:textAlignment w:val="top"/>
        <w:outlineLvl w:val="1"/>
        <w:rPr>
          <w:rFonts w:ascii="Arial" w:eastAsia="Times New Roman" w:hAnsi="Arial" w:cs="Arial"/>
          <w:color w:val="303030"/>
          <w:sz w:val="18"/>
          <w:szCs w:val="18"/>
          <w:lang w:val="mn-MN"/>
        </w:rPr>
      </w:pPr>
    </w:p>
    <w:p w:rsidR="00876995" w:rsidRPr="00876995" w:rsidRDefault="00876995" w:rsidP="00876995">
      <w:pPr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6C26BE61" wp14:editId="2562815B">
            <wp:extent cx="569595" cy="1164590"/>
            <wp:effectExtent l="0" t="0" r="1905" b="0"/>
            <wp:docPr id="1" name="Picture 1" descr="А, Д АМИНДЭМ ДУТЛААС СЭРГИЙЛЭХ, АРГА ХЭМЖЭЭНИЙ ҮР ДҮНГ ХЯНАХ, МЭДЭЭЛЭХ ТОГТОЛЦОО БҮРДҮҮЛЭ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, Д АМИНДЭМ ДУТЛААС СЭРГИЙЛЭХ, АРГА ХЭМЖЭЭНИЙ ҮР ДҮНГ ХЯНАХ, МЭДЭЭЛЭХ ТОГТОЛЦОО БҮРДҮҮЛЭХ ТУХ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95" w:rsidRPr="00876995" w:rsidRDefault="00876995" w:rsidP="00876995">
      <w:pPr>
        <w:spacing w:after="15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МОНГОЛ УЛСЫН ЭРҮҮЛ МЭНД, НИЙГМИЙН ХАМГААЛЛЫН САЙДЫН ТУШААЛ А, Д АМИНДЭМ ДУТЛААС СЭРГИЙЛЭХ, АРГА ХЭМЖЭЭНИЙ ҮР ДҮНГ ХЯНАХ, МЭДЭЭЛЭХ ТОГТОЛЦОО БҮРДҮҮЛЭХ ТУХАЙ</w:t>
      </w:r>
    </w:p>
    <w:tbl>
      <w:tblPr>
        <w:tblW w:w="142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750"/>
        <w:gridCol w:w="4765"/>
      </w:tblGrid>
      <w:tr w:rsidR="00876995" w:rsidRPr="00876995" w:rsidTr="00876995">
        <w:trPr>
          <w:tblCellSpacing w:w="15" w:type="dxa"/>
        </w:trPr>
        <w:tc>
          <w:tcPr>
            <w:tcW w:w="1650" w:type="pct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275DFF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 xml:space="preserve">2000 </w:t>
            </w:r>
            <w:proofErr w:type="spellStart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оны</w:t>
            </w:r>
            <w:proofErr w:type="spellEnd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 xml:space="preserve"> 3 </w:t>
            </w:r>
            <w:proofErr w:type="spellStart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дугаар</w:t>
            </w:r>
            <w:proofErr w:type="spellEnd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сарын</w:t>
            </w:r>
            <w:proofErr w:type="spellEnd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 xml:space="preserve"> 13-ны </w:t>
            </w:r>
            <w:proofErr w:type="spellStart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өдөр</w:t>
            </w:r>
            <w:proofErr w:type="spellEnd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 </w:t>
            </w:r>
          </w:p>
        </w:tc>
        <w:tc>
          <w:tcPr>
            <w:tcW w:w="1650" w:type="pct"/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5DFF"/>
                <w:sz w:val="18"/>
                <w:szCs w:val="18"/>
              </w:rPr>
            </w:pPr>
          </w:p>
        </w:tc>
        <w:tc>
          <w:tcPr>
            <w:tcW w:w="1650" w:type="pct"/>
            <w:hideMark/>
          </w:tcPr>
          <w:p w:rsidR="00876995" w:rsidRPr="00876995" w:rsidRDefault="00876995" w:rsidP="008769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75DFF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Улаанбаатар</w:t>
            </w:r>
            <w:proofErr w:type="spellEnd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хот</w:t>
            </w:r>
            <w:proofErr w:type="spellEnd"/>
            <w:r w:rsidRPr="00876995">
              <w:rPr>
                <w:rFonts w:ascii="Arial" w:eastAsia="Times New Roman" w:hAnsi="Arial" w:cs="Arial"/>
                <w:color w:val="275DFF"/>
                <w:sz w:val="18"/>
                <w:szCs w:val="18"/>
              </w:rPr>
              <w:t> </w:t>
            </w:r>
          </w:p>
        </w:tc>
      </w:tr>
    </w:tbl>
    <w:p w:rsidR="00876995" w:rsidRPr="00876995" w:rsidRDefault="00876995" w:rsidP="0087699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876995" w:rsidRPr="00876995" w:rsidRDefault="00876995" w:rsidP="00876995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Дугаар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74</w:t>
      </w:r>
    </w:p>
    <w:p w:rsidR="00876995" w:rsidRPr="00876995" w:rsidRDefault="00876995" w:rsidP="00876995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Тав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хүртэлх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насны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хүүхдийн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мэндийг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сайжруулж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өвчлөл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эндэгдлийг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бууруулах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А, Д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аминдэм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дутлаас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сэргийлэх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зорилгоор</w:t>
      </w:r>
      <w:proofErr w:type="spellEnd"/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ТУШААХ НЬ:</w:t>
      </w:r>
    </w:p>
    <w:p w:rsidR="00876995" w:rsidRPr="00876995" w:rsidRDefault="00876995" w:rsidP="00876995">
      <w:pPr>
        <w:spacing w:after="0" w:line="270" w:lineRule="atLeast"/>
        <w:ind w:firstLine="720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1. А, 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хэрэглэх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зааврыг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дүгээр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хавсралтаар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А, 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дутлаас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сэргийлэх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арга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хэмжээний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үр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дүнг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хянах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мэдээлэх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журмыг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дугаар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хавсралтаар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нийслэл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аймгуудад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2000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онд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хэрэглэх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А, 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аминдэмийг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түгээх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хуваарийг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дугаар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хавсралтаар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тус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тус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баталсугай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6995" w:rsidRPr="00876995" w:rsidRDefault="00876995" w:rsidP="00876995">
      <w:pPr>
        <w:spacing w:after="0" w:line="270" w:lineRule="atLeast"/>
        <w:ind w:firstLine="720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2. А, 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дутлаас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сэргийлэх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бэлдмэлийг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түгээх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арга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хэмжээг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зохион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байгуулах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үр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дүнг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тооцож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хянах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мэдээлэх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ажлыг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дархлаажуулалтын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үндэсний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өдрүүдтэй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уялдуулан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зохион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байгуулахыг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Нийгмийн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мэндийн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хүрээлэн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Халдварт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өвчин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судлалын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төв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нийслэл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аймгуудын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Мэндийн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Газар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нийслэл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аймгуудын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хүүхдийн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ерөнхий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мэргэжилтэн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хоол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судлаач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эмч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нарт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даалгасугай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6995" w:rsidRPr="00876995" w:rsidRDefault="00876995" w:rsidP="00876995">
      <w:pPr>
        <w:spacing w:after="0" w:line="270" w:lineRule="atLeast"/>
        <w:ind w:firstLine="720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Нийслэл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аймгийн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хэмжээнд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А, 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хангалтыг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зохион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байгуулсан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тухай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мэдээг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жил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бүрийн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6, 11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дүгээр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сарын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25ны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дотор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бага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насны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хүүхдийн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дунд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тархсан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сульдаа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өвчний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судалгаа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А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дутлаас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сэргийлэх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арга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хэмжээг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зохион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байгуулсан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үр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дүнгийн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тайланг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дараа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оны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дүгээр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сарын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15-ны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дотор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НЭМХ-д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ирүүлэх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журмыг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цаашид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мөрдөж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ажиллахыг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Нийслэл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аймгуудын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Мэндийн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Газар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Мэндийн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Газрын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хүүхдийн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ерөнхий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мэргэжилтэн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хоол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судлаач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эмч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нарт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үүрэг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болгосугай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6995" w:rsidRPr="00876995" w:rsidRDefault="00876995" w:rsidP="00876995">
      <w:pPr>
        <w:spacing w:after="0" w:line="270" w:lineRule="atLeast"/>
        <w:ind w:firstLine="720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4. А, 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аминдэм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дутлаас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сэргийлэх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арга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хэмжээний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тухай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жил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бүрийн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дугаар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сарын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1-ний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дотор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ЭМНХЯ-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ны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Хяналт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үнэлгээ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шинжилгээний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газарт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тайлагнахыг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НЭМХ </w:t>
      </w:r>
      <w:proofErr w:type="gramStart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(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захирал</w:t>
      </w:r>
      <w:proofErr w:type="spellEnd"/>
      <w:proofErr w:type="gram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Л.Нарантуяа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)-д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үүрэг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болгосугай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6995" w:rsidRPr="00876995" w:rsidRDefault="00876995" w:rsidP="00876995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 САЙД                                                          С.СОНИН</w:t>
      </w:r>
    </w:p>
    <w:p w:rsidR="00876995" w:rsidRPr="00876995" w:rsidRDefault="00876995" w:rsidP="00876995">
      <w:pPr>
        <w:spacing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                                                        </w:t>
      </w:r>
      <w:proofErr w:type="gramStart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2000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оны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12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дугаар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сарын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1-ний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өдөр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улсын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бүртгэлийн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1631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дугаарт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000000"/>
          <w:sz w:val="18"/>
          <w:szCs w:val="18"/>
        </w:rPr>
        <w:t>бүртгэсэн</w:t>
      </w:r>
      <w:proofErr w:type="spellEnd"/>
      <w:r w:rsidRPr="00876995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876995" w:rsidRDefault="00876995" w:rsidP="00876995">
      <w:pPr>
        <w:shd w:val="clear" w:color="auto" w:fill="FFFFFF"/>
        <w:spacing w:after="150" w:line="240" w:lineRule="auto"/>
        <w:textAlignment w:val="top"/>
        <w:outlineLvl w:val="1"/>
        <w:rPr>
          <w:rFonts w:ascii="Arial" w:eastAsia="Times New Roman" w:hAnsi="Arial" w:cs="Arial"/>
          <w:color w:val="303030"/>
          <w:sz w:val="18"/>
          <w:szCs w:val="18"/>
          <w:lang w:val="mn-MN"/>
        </w:rPr>
      </w:pPr>
    </w:p>
    <w:p w:rsidR="00876995" w:rsidRDefault="00876995" w:rsidP="00876995">
      <w:pPr>
        <w:shd w:val="clear" w:color="auto" w:fill="FFFFFF"/>
        <w:spacing w:after="150" w:line="240" w:lineRule="auto"/>
        <w:textAlignment w:val="top"/>
        <w:outlineLvl w:val="1"/>
        <w:rPr>
          <w:rFonts w:ascii="Arial" w:eastAsia="Times New Roman" w:hAnsi="Arial" w:cs="Arial"/>
          <w:color w:val="303030"/>
          <w:sz w:val="18"/>
          <w:szCs w:val="18"/>
          <w:lang w:val="mn-MN"/>
        </w:rPr>
      </w:pPr>
    </w:p>
    <w:p w:rsidR="00876995" w:rsidRDefault="00876995" w:rsidP="00876995">
      <w:pPr>
        <w:shd w:val="clear" w:color="auto" w:fill="FFFFFF"/>
        <w:spacing w:after="150" w:line="240" w:lineRule="auto"/>
        <w:textAlignment w:val="top"/>
        <w:outlineLvl w:val="1"/>
        <w:rPr>
          <w:rFonts w:ascii="Arial" w:eastAsia="Times New Roman" w:hAnsi="Arial" w:cs="Arial"/>
          <w:color w:val="303030"/>
          <w:sz w:val="18"/>
          <w:szCs w:val="18"/>
          <w:lang w:val="mn-MN"/>
        </w:rPr>
      </w:pPr>
    </w:p>
    <w:p w:rsidR="00876995" w:rsidRDefault="00876995" w:rsidP="00876995">
      <w:pPr>
        <w:shd w:val="clear" w:color="auto" w:fill="FFFFFF"/>
        <w:spacing w:after="150" w:line="240" w:lineRule="auto"/>
        <w:textAlignment w:val="top"/>
        <w:outlineLvl w:val="1"/>
        <w:rPr>
          <w:rFonts w:ascii="Arial" w:eastAsia="Times New Roman" w:hAnsi="Arial" w:cs="Arial"/>
          <w:color w:val="303030"/>
          <w:sz w:val="18"/>
          <w:szCs w:val="18"/>
          <w:lang w:val="mn-MN"/>
        </w:rPr>
      </w:pPr>
    </w:p>
    <w:p w:rsidR="00876995" w:rsidRPr="00876995" w:rsidRDefault="00876995" w:rsidP="00876995">
      <w:pPr>
        <w:shd w:val="clear" w:color="auto" w:fill="FFFFFF"/>
        <w:spacing w:after="150" w:line="240" w:lineRule="auto"/>
        <w:textAlignment w:val="top"/>
        <w:outlineLvl w:val="1"/>
        <w:rPr>
          <w:rFonts w:ascii="Arial" w:eastAsia="Times New Roman" w:hAnsi="Arial" w:cs="Arial"/>
          <w:color w:val="303030"/>
          <w:sz w:val="20"/>
          <w:szCs w:val="20"/>
        </w:rPr>
      </w:pPr>
      <w:r w:rsidRPr="00876995">
        <w:rPr>
          <w:rFonts w:ascii="Arial" w:eastAsia="Times New Roman" w:hAnsi="Arial" w:cs="Arial"/>
          <w:color w:val="303030"/>
          <w:sz w:val="18"/>
          <w:szCs w:val="18"/>
        </w:rPr>
        <w:lastRenderedPageBreak/>
        <w:t> </w:t>
      </w:r>
      <w:hyperlink r:id="rId6" w:history="1">
        <w:proofErr w:type="gram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ХҮ</w:t>
        </w:r>
        <w:bookmarkStart w:id="0" w:name="_GoBack"/>
        <w:bookmarkEnd w:id="0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Н АМЫН ХООЛ ТЭЖЭЭЛИЙН ФИЗИОЛОГИЙН НОРМЫГ БАТЛАХ ТУХАЙ 2017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оны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 2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дугаар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сарын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 23-ны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өдрийн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 А/74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дүгээр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тушаалаар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хүчингүй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болсон</w:t>
        </w:r>
        <w:proofErr w:type="spellEnd"/>
        <w:r w:rsidRPr="00876995">
          <w:rPr>
            <w:rFonts w:ascii="Arial" w:eastAsia="Times New Roman" w:hAnsi="Arial" w:cs="Arial"/>
            <w:color w:val="1C469F"/>
            <w:sz w:val="20"/>
            <w:szCs w:val="20"/>
            <w:u w:val="single"/>
            <w:bdr w:val="none" w:sz="0" w:space="0" w:color="auto" w:frame="1"/>
          </w:rPr>
          <w:t>.</w:t>
        </w:r>
        <w:proofErr w:type="gramEnd"/>
      </w:hyperlink>
    </w:p>
    <w:p w:rsidR="00876995" w:rsidRPr="00AF7745" w:rsidRDefault="00876995" w:rsidP="00876995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b/>
          <w:color w:val="333333"/>
        </w:rPr>
      </w:pPr>
      <w:proofErr w:type="spellStart"/>
      <w:r w:rsidRPr="00AF7745">
        <w:rPr>
          <w:rFonts w:ascii="Arial" w:eastAsia="Times New Roman" w:hAnsi="Arial" w:cs="Arial"/>
          <w:b/>
          <w:color w:val="333333"/>
        </w:rPr>
        <w:t>Эрүүл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мэндийн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сайдын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2008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оны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257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тоот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тушаалын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нэгдүгээр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хавсралт</w:t>
      </w:r>
      <w:proofErr w:type="spellEnd"/>
    </w:p>
    <w:p w:rsidR="00876995" w:rsidRPr="00AF7745" w:rsidRDefault="00876995" w:rsidP="0087699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33333"/>
        </w:rPr>
      </w:pPr>
      <w:proofErr w:type="spellStart"/>
      <w:r w:rsidRPr="00AF7745">
        <w:rPr>
          <w:rFonts w:ascii="Arial" w:eastAsia="Times New Roman" w:hAnsi="Arial" w:cs="Arial"/>
          <w:b/>
          <w:color w:val="333333"/>
        </w:rPr>
        <w:t>Хоол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хүнсээр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авбал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эохих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илчлэг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,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үндсэн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шимт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бодис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,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эслэгийн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хоногийн</w:t>
      </w:r>
      <w:proofErr w:type="spellEnd"/>
      <w:r w:rsidRPr="00AF7745">
        <w:rPr>
          <w:rFonts w:ascii="Arial" w:eastAsia="Times New Roman" w:hAnsi="Arial" w:cs="Arial"/>
          <w:b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color w:val="333333"/>
        </w:rPr>
        <w:t>хэрэгцээ</w:t>
      </w:r>
      <w:proofErr w:type="spellEnd"/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b/>
          <w:color w:val="333333"/>
        </w:rPr>
        <w:br w:type="textWrapping" w:clear="all"/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254"/>
        <w:gridCol w:w="751"/>
        <w:gridCol w:w="1027"/>
        <w:gridCol w:w="636"/>
        <w:gridCol w:w="825"/>
        <w:gridCol w:w="988"/>
        <w:gridCol w:w="606"/>
        <w:gridCol w:w="805"/>
        <w:gridCol w:w="998"/>
        <w:gridCol w:w="646"/>
        <w:gridCol w:w="990"/>
        <w:gridCol w:w="787"/>
        <w:gridCol w:w="659"/>
      </w:tblGrid>
      <w:tr w:rsidR="00876995" w:rsidRPr="00876995" w:rsidTr="00876995">
        <w:tc>
          <w:tcPr>
            <w:tcW w:w="25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Хун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амын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булэг</w:t>
            </w:r>
            <w:proofErr w:type="spellEnd"/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Насны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бүлэг</w:t>
            </w:r>
            <w:proofErr w:type="spellEnd"/>
          </w:p>
        </w:tc>
        <w:tc>
          <w:tcPr>
            <w:tcW w:w="87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Хүйс</w:t>
            </w:r>
            <w:proofErr w:type="spellEnd"/>
          </w:p>
        </w:tc>
        <w:tc>
          <w:tcPr>
            <w:tcW w:w="105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Илчлэгийн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хэрэгцээ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ккал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67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Уураг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rp</w:t>
            </w:r>
            <w:proofErr w:type="spellEnd"/>
          </w:p>
        </w:tc>
        <w:tc>
          <w:tcPr>
            <w:tcW w:w="189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Үунээс</w:t>
            </w:r>
            <w:proofErr w:type="spellEnd"/>
          </w:p>
        </w:tc>
        <w:tc>
          <w:tcPr>
            <w:tcW w:w="67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Өөх</w:t>
            </w:r>
            <w:proofErr w:type="spellEnd"/>
          </w:p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тос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rp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187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Үүнээс</w:t>
            </w:r>
            <w:proofErr w:type="spellEnd"/>
          </w:p>
        </w:tc>
        <w:tc>
          <w:tcPr>
            <w:tcW w:w="67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Нүүрс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ус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rp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Үүнээс</w:t>
            </w:r>
            <w:proofErr w:type="spellEnd"/>
          </w:p>
        </w:tc>
        <w:tc>
          <w:tcPr>
            <w:tcW w:w="70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Эслэг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rp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Амьтны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rp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Ургамлын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Амьтны</w:t>
            </w:r>
            <w:proofErr w:type="spellEnd"/>
          </w:p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Ургамлын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Нийлмэл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Энгийн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76995" w:rsidRPr="00876995" w:rsidTr="00876995">
        <w:tc>
          <w:tcPr>
            <w:tcW w:w="25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Нялхас</w:t>
            </w:r>
            <w:proofErr w:type="spellEnd"/>
          </w:p>
        </w:tc>
        <w:tc>
          <w:tcPr>
            <w:tcW w:w="153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0 -5сар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470'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11.0'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26.0'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47.0'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6-11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р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940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11.0"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96.0 в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25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Бага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насны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хүүхэд</w:t>
            </w:r>
            <w:proofErr w:type="spellEnd"/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1-3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Hac</w:t>
            </w:r>
            <w:proofErr w:type="spellEnd"/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1200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180.0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1260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189.0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158.0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25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Сургуулийн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өмнөх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6а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сургуулийн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насны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хүүхэд</w:t>
            </w:r>
            <w:proofErr w:type="spellEnd"/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4-6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Hac</w:t>
            </w:r>
            <w:proofErr w:type="spellEnd"/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1600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44.0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240.0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1700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255.0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213.0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25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Сургуулийн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насны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хүүхэд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болон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өсвөр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үе</w:t>
            </w:r>
            <w:proofErr w:type="spellEnd"/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7-10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Hac</w:t>
            </w:r>
            <w:proofErr w:type="spellEnd"/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ЭМ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1800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67.0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270.0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225.0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2170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81.0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49.0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325.0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271.0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54.0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11 -14Ha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с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1850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69.0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277.0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231.0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2400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90.0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54.0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36.U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67.0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360.0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15-18 Ha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с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2180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82.0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49.0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327.0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273.0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54.0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2630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98.0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73.0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44.0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394.0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329.0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25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Насанд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хүрэгсэд</w:t>
            </w:r>
            <w:proofErr w:type="spellEnd"/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19-24Hao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2040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76.0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306.0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255.0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20.0'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2590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97.0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72.0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43.0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389.0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324.0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26.0'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25 - 50 Ha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mn-MN"/>
              </w:rPr>
              <w:t>с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tabs>
                <w:tab w:val="center" w:pos="325"/>
              </w:tabs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1960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73.0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44.0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54.0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294.0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245.0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49.0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20.0'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2480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93.0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68.0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372.0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25.0'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51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ба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түүнээс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дээш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1800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67.0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270.0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225.0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18.0'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2030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76.0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304.0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253.0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20.0'</w:t>
            </w:r>
          </w:p>
        </w:tc>
      </w:tr>
      <w:tr w:rsidR="00876995" w:rsidRPr="00876995" w:rsidTr="00876995">
        <w:tc>
          <w:tcPr>
            <w:tcW w:w="25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Жишсэн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дундаж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хүн</w:t>
            </w:r>
            <w:proofErr w:type="spellEnd"/>
          </w:p>
        </w:tc>
        <w:tc>
          <w:tcPr>
            <w:tcW w:w="153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20-39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Hac</w:t>
            </w:r>
            <w:proofErr w:type="spellEnd"/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эр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2500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94.0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69.0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375.0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312.0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25.0'</w:t>
            </w:r>
          </w:p>
        </w:tc>
      </w:tr>
      <w:tr w:rsidR="00876995" w:rsidRPr="00876995" w:rsidTr="00876995">
        <w:tc>
          <w:tcPr>
            <w:tcW w:w="25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Жирэмсэн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эмэгтэйчүүд</w:t>
            </w:r>
            <w:proofErr w:type="spellEnd"/>
          </w:p>
        </w:tc>
        <w:tc>
          <w:tcPr>
            <w:tcW w:w="24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Жирэмсний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тээлтийн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сартай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2040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76.0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306.0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255.0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20.0'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Жирэмсний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тээлтийн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4-9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сартай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2340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88.0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53.0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351.0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293.0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23.0'</w:t>
            </w:r>
          </w:p>
        </w:tc>
      </w:tr>
      <w:tr w:rsidR="00876995" w:rsidRPr="00876995" w:rsidTr="00876995">
        <w:tc>
          <w:tcPr>
            <w:tcW w:w="498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 xml:space="preserve">0-12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сартай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хөхүүл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хүухэдтэй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эх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2540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95.0</w:t>
            </w:r>
          </w:p>
        </w:tc>
        <w:tc>
          <w:tcPr>
            <w:tcW w:w="8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28.0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42.0</w:t>
            </w:r>
          </w:p>
        </w:tc>
        <w:tc>
          <w:tcPr>
            <w:tcW w:w="6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381.0</w:t>
            </w:r>
          </w:p>
        </w:tc>
        <w:tc>
          <w:tcPr>
            <w:tcW w:w="10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318.0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63.0</w:t>
            </w:r>
          </w:p>
        </w:tc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25.0'</w:t>
            </w:r>
          </w:p>
        </w:tc>
      </w:tr>
    </w:tbl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876995">
        <w:rPr>
          <w:rFonts w:ascii="Arial" w:eastAsia="Times New Roman" w:hAnsi="Arial" w:cs="Arial"/>
          <w:b/>
          <w:bCs/>
          <w:color w:val="333333"/>
          <w:sz w:val="18"/>
          <w:szCs w:val="18"/>
        </w:rPr>
        <w:t>Тайлбар</w:t>
      </w:r>
      <w:proofErr w:type="spellEnd"/>
      <w:r w:rsidRPr="00876995">
        <w:rPr>
          <w:rFonts w:ascii="Arial" w:eastAsia="Times New Roman" w:hAnsi="Arial" w:cs="Arial"/>
          <w:b/>
          <w:bCs/>
          <w:color w:val="333333"/>
          <w:sz w:val="18"/>
          <w:szCs w:val="18"/>
        </w:rPr>
        <w:t>: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Уураг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өөх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нүүрс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усны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хэрэгцээг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"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аюулгүйн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хэмжээ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"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буюу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бие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махбодийн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хэрэгцээний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дээд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хяэгаараар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тогтоов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Үүний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дотор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color w:val="333333"/>
          <w:sz w:val="18"/>
          <w:szCs w:val="18"/>
        </w:rPr>
        <w:t>   а -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Монгол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эхийн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төрсний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дараах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эхний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6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сарын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хөхний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сүүний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гарц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(750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)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түүний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илчлэг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уураг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нүурс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усны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агууламжийг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color w:val="333333"/>
          <w:sz w:val="18"/>
          <w:szCs w:val="18"/>
        </w:rPr>
        <w:t>   в -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Монгол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эхийн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төрсний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дараах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7-12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сарын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хөхний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сүүний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гарц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(718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),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түүний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нүүрс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усны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агууламж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мөн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энэ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насны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хүүхдийн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нэмэгдэл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хоолоор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авах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(5.7гр),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нүүрс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(51гр)-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хэмжээг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с -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энэ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насны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хүүхдийн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дундаж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жин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9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кг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бөгөөд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хүүхдийн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биеийн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1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кг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жин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тутамд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105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ккал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илчлэг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1.2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гр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уураг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шаардагдахыг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тус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тус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үндэслэн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тогтоосон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-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Эдгээр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"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Зохистой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хэрэглээ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" -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ээр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тогтоогдсон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хэрэгцээ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Шим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тэжээлт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бодисуудын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"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Зохистой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хэрэглээ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"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гэдэг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тухайн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бодисын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дутал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илрээгуй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харьцангуй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амын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дундаж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хэрэглээнд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үндэслэн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тогтоогдсон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A619BC" w:rsidRDefault="00A619BC">
      <w:pPr>
        <w:rPr>
          <w:lang w:val="mn-MN"/>
        </w:rPr>
      </w:pPr>
    </w:p>
    <w:p w:rsidR="00876995" w:rsidRPr="00AF7745" w:rsidRDefault="00876995" w:rsidP="00876995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Эруул</w:t>
      </w:r>
      <w:proofErr w:type="spellEnd"/>
      <w:r w:rsidRPr="00AF7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мэндийн</w:t>
      </w:r>
      <w:proofErr w:type="spellEnd"/>
      <w:r w:rsidRPr="00AF7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сайдын</w:t>
      </w:r>
      <w:proofErr w:type="spellEnd"/>
      <w:r w:rsidRPr="00AF7745">
        <w:rPr>
          <w:rFonts w:ascii="Arial" w:eastAsia="Times New Roman" w:hAnsi="Arial" w:cs="Arial"/>
          <w:color w:val="333333"/>
          <w:sz w:val="20"/>
          <w:szCs w:val="20"/>
        </w:rPr>
        <w:t xml:space="preserve"> 2008 </w:t>
      </w: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оны</w:t>
      </w:r>
      <w:proofErr w:type="spellEnd"/>
      <w:r w:rsidRPr="00AF7745">
        <w:rPr>
          <w:rFonts w:ascii="Arial" w:eastAsia="Times New Roman" w:hAnsi="Arial" w:cs="Arial"/>
          <w:color w:val="333333"/>
          <w:sz w:val="20"/>
          <w:szCs w:val="20"/>
        </w:rPr>
        <w:br/>
        <w:t xml:space="preserve">257 </w:t>
      </w: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тоот</w:t>
      </w:r>
      <w:proofErr w:type="spellEnd"/>
      <w:r w:rsidRPr="00AF7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тушаалын</w:t>
      </w:r>
      <w:proofErr w:type="spellEnd"/>
      <w:r w:rsidRPr="00AF7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дөрөвдүгээр</w:t>
      </w:r>
      <w:proofErr w:type="spellEnd"/>
      <w:r w:rsidRPr="00AF7745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AF7745">
        <w:rPr>
          <w:rFonts w:ascii="Arial" w:eastAsia="Times New Roman" w:hAnsi="Arial" w:cs="Arial"/>
          <w:color w:val="333333"/>
          <w:sz w:val="20"/>
          <w:szCs w:val="20"/>
        </w:rPr>
        <w:t>хавсралт</w:t>
      </w:r>
      <w:proofErr w:type="spellEnd"/>
    </w:p>
    <w:p w:rsidR="00876995" w:rsidRPr="00876995" w:rsidRDefault="00876995" w:rsidP="0087699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b/>
          <w:bCs/>
          <w:color w:val="333333"/>
          <w:sz w:val="18"/>
          <w:szCs w:val="18"/>
        </w:rPr>
        <w:t> </w:t>
      </w:r>
    </w:p>
    <w:p w:rsidR="00876995" w:rsidRPr="00AF7745" w:rsidRDefault="00876995" w:rsidP="0087699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</w:rPr>
      </w:pP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Жишсэн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дундаж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хүний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илчлэгийн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хоногийн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хэрэгцээг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хангах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хүнсний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бүтээгдэхүүний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жишиг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хэмжээ</w:t>
      </w:r>
      <w:proofErr w:type="spellEnd"/>
    </w:p>
    <w:p w:rsidR="00876995" w:rsidRPr="00AF7745" w:rsidRDefault="00876995" w:rsidP="0087699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</w:rPr>
      </w:pPr>
      <w:r w:rsidRPr="00AF7745">
        <w:rPr>
          <w:rFonts w:ascii="Arial" w:eastAsia="Times New Roman" w:hAnsi="Arial" w:cs="Arial"/>
          <w:b/>
          <w:bCs/>
          <w:color w:val="333333"/>
        </w:rPr>
        <w:t>(</w:t>
      </w:r>
      <w:proofErr w:type="spellStart"/>
      <w:proofErr w:type="gramStart"/>
      <w:r w:rsidRPr="00AF7745">
        <w:rPr>
          <w:rFonts w:ascii="Arial" w:eastAsia="Times New Roman" w:hAnsi="Arial" w:cs="Arial"/>
          <w:b/>
          <w:bCs/>
          <w:color w:val="333333"/>
        </w:rPr>
        <w:t>сэрүүний</w:t>
      </w:r>
      <w:proofErr w:type="spellEnd"/>
      <w:proofErr w:type="gramEnd"/>
      <w:r w:rsidRPr="00AF77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AF7745">
        <w:rPr>
          <w:rFonts w:ascii="Arial" w:eastAsia="Times New Roman" w:hAnsi="Arial" w:cs="Arial"/>
          <w:b/>
          <w:bCs/>
          <w:color w:val="333333"/>
        </w:rPr>
        <w:t>улиралд</w:t>
      </w:r>
      <w:proofErr w:type="spellEnd"/>
      <w:r w:rsidRPr="00AF7745">
        <w:rPr>
          <w:rFonts w:ascii="Arial" w:eastAsia="Times New Roman" w:hAnsi="Arial" w:cs="Arial"/>
          <w:b/>
          <w:bCs/>
          <w:color w:val="333333"/>
        </w:rPr>
        <w:t>)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187"/>
        <w:gridCol w:w="1502"/>
        <w:gridCol w:w="824"/>
        <w:gridCol w:w="847"/>
        <w:gridCol w:w="1041"/>
        <w:gridCol w:w="983"/>
        <w:gridCol w:w="1002"/>
        <w:gridCol w:w="1013"/>
        <w:gridCol w:w="1009"/>
        <w:gridCol w:w="958"/>
      </w:tblGrid>
      <w:tr w:rsidR="00876995" w:rsidRPr="00876995" w:rsidTr="00876995">
        <w:tc>
          <w:tcPr>
            <w:tcW w:w="70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Д/д</w:t>
            </w:r>
          </w:p>
        </w:tc>
        <w:tc>
          <w:tcPr>
            <w:tcW w:w="330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Хүнсний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бүтээгдэхүүний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154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Хоногт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хэрэглэх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хэмжээ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гр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эсвэл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6840" w:type="dxa"/>
            <w:gridSpan w:val="7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Шимт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бодисууд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гр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975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Илчлэг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ккал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Уураг</w:t>
            </w:r>
            <w:proofErr w:type="spellEnd"/>
          </w:p>
        </w:tc>
        <w:tc>
          <w:tcPr>
            <w:tcW w:w="190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Үүнээс</w:t>
            </w:r>
            <w:proofErr w:type="spellEnd"/>
          </w:p>
        </w:tc>
        <w:tc>
          <w:tcPr>
            <w:tcW w:w="102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Тос</w:t>
            </w:r>
            <w:proofErr w:type="spellEnd"/>
          </w:p>
        </w:tc>
        <w:tc>
          <w:tcPr>
            <w:tcW w:w="204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Үүнээс</w:t>
            </w:r>
            <w:proofErr w:type="spellEnd"/>
          </w:p>
        </w:tc>
        <w:tc>
          <w:tcPr>
            <w:tcW w:w="102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Нүүрс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ус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76995" w:rsidRPr="00876995" w:rsidTr="008769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амьтны</w:t>
            </w:r>
            <w:proofErr w:type="spellEnd"/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ургамлын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амьтны</w:t>
            </w:r>
            <w:proofErr w:type="spellEnd"/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ургамлын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76995" w:rsidRPr="00876995" w:rsidRDefault="00876995" w:rsidP="00876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Мах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махан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бүтээгдэхүүн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374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Сүү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120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Тараг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аарц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113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Гурил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325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Гурилан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бүтээгдэхүүн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95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452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Төрөл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бүрийн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будаа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78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269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Сахар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чихрийн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зүйл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92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Төмс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123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Хүнсний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ногоо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Буурцагт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ургамал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вандуй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шош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265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Жимс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84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Өндөг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</w:tr>
      <w:tr w:rsidR="00876995" w:rsidRPr="00876995" w:rsidTr="00876995">
        <w:tc>
          <w:tcPr>
            <w:tcW w:w="7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33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Ургамлын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тос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225</w:t>
            </w:r>
          </w:p>
        </w:tc>
      </w:tr>
      <w:tr w:rsidR="00876995" w:rsidRPr="00876995" w:rsidTr="00876995">
        <w:tc>
          <w:tcPr>
            <w:tcW w:w="399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Бүгд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1625</w:t>
            </w:r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358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2500</w:t>
            </w:r>
          </w:p>
        </w:tc>
      </w:tr>
      <w:tr w:rsidR="00876995" w:rsidRPr="00876995" w:rsidTr="00876995">
        <w:tc>
          <w:tcPr>
            <w:tcW w:w="553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Үндсэн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шимт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бодисын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илчлэг</w:t>
            </w:r>
            <w:proofErr w:type="spellEnd"/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424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212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212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270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1432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76995" w:rsidRPr="00876995" w:rsidTr="00876995">
        <w:tc>
          <w:tcPr>
            <w:tcW w:w="553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Үндсэн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шимт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бодисын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илчлэгийн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нийт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илчлэгт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эзлэх</w:t>
            </w:r>
            <w:proofErr w:type="spellEnd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хэвь</w:t>
            </w:r>
            <w:proofErr w:type="spellEnd"/>
          </w:p>
        </w:tc>
        <w:tc>
          <w:tcPr>
            <w:tcW w:w="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</w:t>
            </w:r>
          </w:p>
        </w:tc>
        <w:tc>
          <w:tcPr>
            <w:tcW w:w="9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995" w:rsidRPr="00876995" w:rsidRDefault="00876995" w:rsidP="008769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7699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Тайлбар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•       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Илчлэгийн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хэрэщээг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хангах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хүнсний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бүтээгдэхүүний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жишиг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хэмжээг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харьцангуй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эрүүл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монгол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хүнсний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бүтээгдэхүүний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дундаж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хэрэглээн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дээр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үндэслэн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тогтоов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•       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Зөвлөмж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болгож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буй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Жишсэн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дундаж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илчлэгийн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хэрэгцээ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НҮБ-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   ХХААБ/ ДЭМБ -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   2002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онд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баталсан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"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илчлэгийн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хэрэгцээ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"   /2550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ккал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/-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тэй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дүйцэж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байгаа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876995" w:rsidRPr="00876995" w:rsidRDefault="00876995" w:rsidP="008769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•       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Илчлэг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шимт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бодисын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хэрэгцээг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тооцоход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мах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махан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бүтээгдэхүүнийг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үхрийн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1-р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мах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;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гурилыг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улаан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буудайн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1-р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гурил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;  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гурилан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бүтээгдэхүүнийг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хөх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тарианы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талх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;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сүү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сүүн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бүтээгдэхүүнийг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3.2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хувийн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тослогтой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үнээний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сүу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;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төрөл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бүрийн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будааг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цагаан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будаа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;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сахар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чихрийн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зүйлийг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элсэн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чихэр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;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хүнсний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ногоог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байцаа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;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жимс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жимсгэнийг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алимаар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тус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тус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төлөөлүүлэн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авсан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76995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87699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876995" w:rsidRPr="00876995" w:rsidRDefault="00876995">
      <w:pPr>
        <w:rPr>
          <w:lang w:val="mn-MN"/>
        </w:rPr>
      </w:pPr>
    </w:p>
    <w:sectPr w:rsidR="00876995" w:rsidRPr="00876995" w:rsidSect="008769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5"/>
    <w:rsid w:val="004642D2"/>
    <w:rsid w:val="00876995"/>
    <w:rsid w:val="00A619BC"/>
    <w:rsid w:val="00AF7745"/>
    <w:rsid w:val="00F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64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7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galinfo.mn/law/details/856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2018-05-10T01:13:00Z</dcterms:created>
  <dcterms:modified xsi:type="dcterms:W3CDTF">2018-05-10T01:29:00Z</dcterms:modified>
</cp:coreProperties>
</file>